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0"/>
        <w:spacing w:after="0" w:line="240" w:lineRule="auto"/>
        <w:ind w:firstLine="720" w:left="0"/>
        <w:jc w:val="center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 xml:space="preserve">ИДЕТ ПРИЕМ ЗАЯВОК НА КОНКУРС </w:t>
      </w:r>
      <w:r>
        <w:rPr>
          <w:rFonts w:ascii="Times New Roman" w:hAnsi="Times New Roman"/>
          <w:b w:val="1"/>
          <w:color w:themeColor="text1" w:val="000000"/>
          <w:sz w:val="28"/>
        </w:rPr>
        <w:br/>
      </w:r>
      <w:r>
        <w:rPr>
          <w:rFonts w:ascii="Times New Roman" w:hAnsi="Times New Roman"/>
          <w:b w:val="1"/>
          <w:color w:themeColor="text1" w:val="000000"/>
          <w:sz w:val="28"/>
        </w:rPr>
        <w:t>НА ВОЗМЕЩЕНИЕ ЗАТРАТ СОЦИАЛЬНО ОРИЕНТИРОВАННЫМ НЕКОММЕРЧЕСКИМ ОРГАНИЗАЦИЯМ В 202</w:t>
      </w:r>
      <w:r>
        <w:rPr>
          <w:rFonts w:ascii="Times New Roman" w:hAnsi="Times New Roman"/>
          <w:b w:val="1"/>
          <w:color w:themeColor="text1" w:val="000000"/>
          <w:sz w:val="28"/>
        </w:rPr>
        <w:t>6</w:t>
      </w:r>
      <w:r>
        <w:rPr>
          <w:rFonts w:ascii="Times New Roman" w:hAnsi="Times New Roman"/>
          <w:b w:val="1"/>
          <w:color w:themeColor="text1" w:val="000000"/>
          <w:sz w:val="28"/>
        </w:rPr>
        <w:t xml:space="preserve"> ГОДУ!</w:t>
      </w:r>
    </w:p>
    <w:p w14:paraId="04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b w:val="1"/>
          <w:color w:themeColor="text1" w:val="000000"/>
          <w:sz w:val="28"/>
        </w:rPr>
      </w:pPr>
    </w:p>
    <w:p w14:paraId="0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>До 23 октября 2026 года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 xml:space="preserve">автономная некоммерческая организация </w:t>
      </w:r>
      <w:r>
        <w:rPr>
          <w:rFonts w:ascii="Times New Roman" w:hAnsi="Times New Roman"/>
          <w:b w:val="1"/>
          <w:color w:themeColor="text1" w:val="000000"/>
          <w:sz w:val="28"/>
        </w:rPr>
        <w:t>«Агентство развития гражданских инициатив Ростовской области»</w:t>
      </w:r>
      <w:r>
        <w:rPr>
          <w:rFonts w:ascii="Times New Roman" w:hAnsi="Times New Roman"/>
          <w:color w:themeColor="text1" w:val="000000"/>
          <w:sz w:val="28"/>
        </w:rPr>
        <w:t xml:space="preserve"> осуществляет</w:t>
      </w:r>
      <w:r>
        <w:rPr>
          <w:rFonts w:ascii="Times New Roman" w:hAnsi="Times New Roman"/>
          <w:color w:themeColor="text1" w:val="000000"/>
          <w:sz w:val="28"/>
        </w:rPr>
        <w:t xml:space="preserve"> прием заявок на конкурс на возмещение затрат социально ориентированным некоммерческим организациям в 202</w:t>
      </w:r>
      <w:r>
        <w:rPr>
          <w:rFonts w:ascii="Times New Roman" w:hAnsi="Times New Roman"/>
          <w:color w:themeColor="text1" w:val="000000"/>
          <w:sz w:val="28"/>
        </w:rPr>
        <w:t>6</w:t>
      </w:r>
      <w:r>
        <w:rPr>
          <w:rFonts w:ascii="Times New Roman" w:hAnsi="Times New Roman"/>
          <w:color w:themeColor="text1" w:val="000000"/>
          <w:sz w:val="28"/>
        </w:rPr>
        <w:t xml:space="preserve"> году </w:t>
      </w:r>
      <w:r>
        <w:rPr>
          <w:rFonts w:ascii="Times New Roman" w:hAnsi="Times New Roman"/>
          <w:color w:themeColor="text1" w:val="000000"/>
          <w:sz w:val="28"/>
        </w:rPr>
        <w:t xml:space="preserve">в целях </w:t>
      </w:r>
      <w:r>
        <w:rPr>
          <w:rFonts w:ascii="Times New Roman" w:hAnsi="Times New Roman"/>
          <w:color w:themeColor="text1" w:val="000000"/>
          <w:sz w:val="28"/>
        </w:rPr>
        <w:t>финансовой поддержки социально ориентированных некоммерческих организаций Ростовской области (далее – СО НКО)</w:t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06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>Часы приема документов по будням с 10:00 до 16:00 часов</w:t>
      </w:r>
    </w:p>
    <w:p w14:paraId="07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Для получения разъяснений положений объявления о проведении Конкурса обращаться: </w:t>
      </w:r>
    </w:p>
    <w:p w14:paraId="08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email: </w:t>
      </w:r>
      <w:r>
        <w:rPr>
          <w:rFonts w:ascii="Times New Roman" w:hAnsi="Times New Roman"/>
          <w:color w:themeColor="text1" w:val="000000"/>
          <w:sz w:val="28"/>
        </w:rPr>
        <w:t>cidarr@yandex.ru</w:t>
      </w:r>
      <w:r>
        <w:rPr>
          <w:rFonts w:ascii="Times New Roman" w:hAnsi="Times New Roman"/>
          <w:color w:themeColor="text1" w:val="000000"/>
          <w:sz w:val="28"/>
        </w:rPr>
        <w:t xml:space="preserve">, </w:t>
      </w:r>
    </w:p>
    <w:p w14:paraId="09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тел. +7 (</w:t>
      </w:r>
      <w:r>
        <w:rPr>
          <w:rFonts w:ascii="Times New Roman" w:hAnsi="Times New Roman"/>
          <w:color w:themeColor="text1" w:val="000000"/>
          <w:sz w:val="28"/>
        </w:rPr>
        <w:t>938</w:t>
      </w:r>
      <w:r>
        <w:rPr>
          <w:rFonts w:ascii="Times New Roman" w:hAnsi="Times New Roman"/>
          <w:color w:themeColor="text1" w:val="000000"/>
          <w:sz w:val="28"/>
        </w:rPr>
        <w:t>)</w:t>
      </w:r>
      <w:r>
        <w:rPr>
          <w:rFonts w:ascii="Times New Roman" w:hAnsi="Times New Roman"/>
          <w:color w:themeColor="text1" w:val="000000"/>
          <w:sz w:val="28"/>
        </w:rPr>
        <w:t>161</w:t>
      </w:r>
      <w:r>
        <w:rPr>
          <w:rFonts w:ascii="Times New Roman" w:hAnsi="Times New Roman"/>
          <w:color w:themeColor="text1" w:val="000000"/>
          <w:sz w:val="28"/>
        </w:rPr>
        <w:t>-</w:t>
      </w:r>
      <w:r>
        <w:rPr>
          <w:rFonts w:ascii="Times New Roman" w:hAnsi="Times New Roman"/>
          <w:color w:themeColor="text1" w:val="000000"/>
          <w:sz w:val="28"/>
        </w:rPr>
        <w:t>12</w:t>
      </w:r>
      <w:r>
        <w:rPr>
          <w:rFonts w:ascii="Times New Roman" w:hAnsi="Times New Roman"/>
          <w:color w:themeColor="text1" w:val="000000"/>
          <w:sz w:val="28"/>
        </w:rPr>
        <w:t>-</w:t>
      </w:r>
      <w:r>
        <w:rPr>
          <w:rFonts w:ascii="Times New Roman" w:hAnsi="Times New Roman"/>
          <w:color w:themeColor="text1" w:val="000000"/>
          <w:sz w:val="28"/>
        </w:rPr>
        <w:t>00</w:t>
      </w:r>
    </w:p>
    <w:p w14:paraId="0A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место нахождения: г. </w:t>
      </w:r>
      <w:r>
        <w:rPr>
          <w:rFonts w:ascii="Times New Roman" w:hAnsi="Times New Roman"/>
          <w:color w:themeColor="text1" w:val="000000"/>
          <w:sz w:val="28"/>
        </w:rPr>
        <w:t>Ростов</w:t>
      </w:r>
      <w:r>
        <w:rPr>
          <w:rFonts w:ascii="Times New Roman" w:hAnsi="Times New Roman"/>
          <w:color w:themeColor="text1" w:val="000000"/>
          <w:sz w:val="28"/>
        </w:rPr>
        <w:t>-на-Дону ул. Текучева, 13</w:t>
      </w:r>
      <w:r>
        <w:rPr>
          <w:rFonts w:ascii="Times New Roman" w:hAnsi="Times New Roman"/>
          <w:color w:themeColor="text1" w:val="000000"/>
          <w:sz w:val="28"/>
        </w:rPr>
        <w:t>9Г</w:t>
      </w:r>
    </w:p>
    <w:p w14:paraId="0B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почтовый адрес: 344018, г. </w:t>
      </w:r>
      <w:r>
        <w:rPr>
          <w:rFonts w:ascii="Times New Roman" w:hAnsi="Times New Roman"/>
          <w:color w:themeColor="text1" w:val="000000"/>
          <w:sz w:val="28"/>
        </w:rPr>
        <w:t>Ростов</w:t>
      </w:r>
      <w:r>
        <w:rPr>
          <w:rFonts w:ascii="Times New Roman" w:hAnsi="Times New Roman"/>
          <w:color w:themeColor="text1" w:val="000000"/>
          <w:sz w:val="28"/>
        </w:rPr>
        <w:t>-на-Дону ул. Текучева, 13</w:t>
      </w:r>
      <w:r>
        <w:rPr>
          <w:rFonts w:ascii="Times New Roman" w:hAnsi="Times New Roman"/>
          <w:color w:themeColor="text1" w:val="000000"/>
          <w:sz w:val="28"/>
        </w:rPr>
        <w:t>9Г</w:t>
      </w:r>
    </w:p>
    <w:p w14:paraId="0C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</w:p>
    <w:p w14:paraId="0D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Подробная информация о конкурсе: </w:t>
      </w:r>
    </w:p>
    <w:p w14:paraId="0E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ростов.гранты</w:t>
      </w:r>
      <w:r>
        <w:rPr>
          <w:rFonts w:ascii="Times New Roman" w:hAnsi="Times New Roman"/>
          <w:color w:themeColor="text1" w:val="000000"/>
          <w:sz w:val="28"/>
        </w:rPr>
        <w:t>.рф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</w:p>
    <w:p w14:paraId="0F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"https://vk.com/cida_rr"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https://vk.com/cida_rr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 xml:space="preserve"> </w:t>
      </w:r>
    </w:p>
    <w:p w14:paraId="10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https://max.ru/channel_ANOargiRO</w:t>
      </w:r>
    </w:p>
    <w:p w14:paraId="11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"https://ok.ru/group/70000001302697"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https://ok.ru/group/70000001302697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</w:p>
    <w:p w14:paraId="12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</w:p>
    <w:p w14:paraId="13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Размеры возмещения, на которые могут претендовать социально ориентированные некоммерческие организации в текущем году:</w:t>
      </w:r>
    </w:p>
    <w:p w14:paraId="14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1)</w:t>
      </w:r>
      <w:r>
        <w:rPr>
          <w:rFonts w:ascii="Times New Roman" w:hAnsi="Times New Roman"/>
          <w:b w:val="1"/>
          <w:i w:val="1"/>
          <w:color w:themeColor="text1" w:val="000000"/>
          <w:sz w:val="28"/>
        </w:rPr>
        <w:tab/>
      </w:r>
      <w:r>
        <w:rPr>
          <w:rFonts w:ascii="Times New Roman" w:hAnsi="Times New Roman"/>
          <w:color w:themeColor="text1" w:val="000000"/>
          <w:sz w:val="28"/>
        </w:rPr>
        <w:t xml:space="preserve">Арендная плата за аренду нежилых помещений, рабочего места, некапитальных строений, возмещение затрат </w:t>
      </w:r>
      <w:r>
        <w:rPr>
          <w:rFonts w:ascii="Times New Roman" w:hAnsi="Times New Roman"/>
          <w:b w:val="1"/>
          <w:color w:themeColor="text1" w:val="000000"/>
          <w:sz w:val="28"/>
        </w:rPr>
        <w:t>не более 180 000 рублей для СО НКО</w:t>
      </w:r>
      <w:r>
        <w:rPr>
          <w:rFonts w:ascii="Times New Roman" w:hAnsi="Times New Roman"/>
          <w:color w:themeColor="text1" w:val="000000"/>
          <w:sz w:val="28"/>
        </w:rPr>
        <w:t>;</w:t>
      </w:r>
    </w:p>
    <w:p w14:paraId="1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2) Оплата дополнительного профессионального образования работников и добровольцев (волонтеров) СО НКО, возмещение затрат </w:t>
      </w:r>
      <w:r>
        <w:rPr>
          <w:rFonts w:ascii="Times New Roman" w:hAnsi="Times New Roman"/>
          <w:color w:themeColor="text1" w:val="000000"/>
          <w:sz w:val="28"/>
        </w:rPr>
        <w:br/>
      </w:r>
      <w:r>
        <w:rPr>
          <w:rFonts w:ascii="Times New Roman" w:hAnsi="Times New Roman"/>
          <w:b w:val="1"/>
          <w:color w:themeColor="text1" w:val="000000"/>
          <w:sz w:val="28"/>
        </w:rPr>
        <w:t>не более 20 000 рублей из расчета на одного работника или добровольца СО НКО</w:t>
      </w:r>
      <w:r>
        <w:rPr>
          <w:rFonts w:ascii="Times New Roman" w:hAnsi="Times New Roman"/>
          <w:color w:themeColor="text1" w:val="000000"/>
          <w:sz w:val="28"/>
        </w:rPr>
        <w:t>;</w:t>
      </w:r>
    </w:p>
    <w:p w14:paraId="16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3) Оплата коммунальных услуг. Возмещению подлежат затраты </w:t>
      </w:r>
      <w:r>
        <w:rPr>
          <w:rFonts w:ascii="Times New Roman" w:hAnsi="Times New Roman"/>
          <w:color w:themeColor="text1" w:val="000000"/>
          <w:sz w:val="28"/>
        </w:rPr>
        <w:br/>
      </w:r>
      <w:r>
        <w:rPr>
          <w:rFonts w:ascii="Times New Roman" w:hAnsi="Times New Roman"/>
          <w:color w:themeColor="text1" w:val="000000"/>
          <w:sz w:val="28"/>
        </w:rPr>
        <w:t xml:space="preserve">на оплату коммунальных услуг, включающие в себя услуги за холодное водоснабжение, горячее водоснабжение, электроснабжение, отопление, газоснабжение, водоотведение, обращение с твердыми коммунальными отходами, возмещение затрат </w:t>
      </w:r>
      <w:r>
        <w:rPr>
          <w:rFonts w:ascii="Times New Roman" w:hAnsi="Times New Roman"/>
          <w:b w:val="1"/>
          <w:color w:themeColor="text1" w:val="000000"/>
          <w:sz w:val="28"/>
        </w:rPr>
        <w:t>не более 100 000 рублей для СО НКО</w:t>
      </w:r>
      <w:r>
        <w:rPr>
          <w:rFonts w:ascii="Times New Roman" w:hAnsi="Times New Roman"/>
          <w:color w:themeColor="text1" w:val="000000"/>
          <w:sz w:val="28"/>
        </w:rPr>
        <w:t xml:space="preserve">; </w:t>
      </w:r>
    </w:p>
    <w:p w14:paraId="17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4) На оплату услуг по размещению информационных материалов </w:t>
      </w:r>
      <w:r>
        <w:rPr>
          <w:rFonts w:ascii="Times New Roman" w:hAnsi="Times New Roman"/>
          <w:color w:themeColor="text1" w:val="000000"/>
          <w:sz w:val="28"/>
        </w:rPr>
        <w:br/>
      </w:r>
      <w:r>
        <w:rPr>
          <w:rFonts w:ascii="Times New Roman" w:hAnsi="Times New Roman"/>
          <w:color w:themeColor="text1" w:val="000000"/>
          <w:sz w:val="28"/>
        </w:rPr>
        <w:t xml:space="preserve">об их деятельности в официально зарегистрированных на территории Российской Федерации средствах массовой информации, возмещение затрат </w:t>
      </w:r>
      <w:r>
        <w:rPr>
          <w:rFonts w:ascii="Times New Roman" w:hAnsi="Times New Roman"/>
          <w:b w:val="1"/>
          <w:color w:themeColor="text1" w:val="000000"/>
          <w:sz w:val="28"/>
        </w:rPr>
        <w:t>не более 30 000 рублей для СО НКО</w:t>
      </w:r>
      <w:r>
        <w:rPr>
          <w:rFonts w:ascii="Times New Roman" w:hAnsi="Times New Roman"/>
          <w:color w:themeColor="text1" w:val="000000"/>
          <w:sz w:val="28"/>
        </w:rPr>
        <w:t xml:space="preserve">; </w:t>
      </w:r>
    </w:p>
    <w:p w14:paraId="18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5) Оплата услуг связи, в том числе по предоставлению доступа </w:t>
      </w:r>
      <w:r>
        <w:rPr>
          <w:rFonts w:ascii="Times New Roman" w:hAnsi="Times New Roman"/>
          <w:color w:themeColor="text1" w:val="000000"/>
          <w:sz w:val="28"/>
        </w:rPr>
        <w:br/>
      </w:r>
      <w:r>
        <w:rPr>
          <w:rFonts w:ascii="Times New Roman" w:hAnsi="Times New Roman"/>
          <w:color w:themeColor="text1" w:val="000000"/>
          <w:sz w:val="28"/>
        </w:rPr>
        <w:t xml:space="preserve">к информационно-телекоммуникационной сети «Интернет», услуг </w:t>
      </w:r>
      <w:r>
        <w:rPr>
          <w:rFonts w:ascii="Times New Roman" w:hAnsi="Times New Roman"/>
          <w:color w:themeColor="text1" w:val="000000"/>
          <w:sz w:val="28"/>
        </w:rPr>
        <w:br/>
      </w:r>
      <w:r>
        <w:rPr>
          <w:rFonts w:ascii="Times New Roman" w:hAnsi="Times New Roman"/>
          <w:color w:themeColor="text1" w:val="000000"/>
          <w:sz w:val="28"/>
        </w:rPr>
        <w:t xml:space="preserve">по регистрации и продлению регистрации доменных имен их сайтов </w:t>
      </w:r>
      <w:r>
        <w:rPr>
          <w:rFonts w:ascii="Times New Roman" w:hAnsi="Times New Roman"/>
          <w:color w:themeColor="text1" w:val="000000"/>
          <w:sz w:val="28"/>
        </w:rPr>
        <w:br/>
      </w:r>
      <w:r>
        <w:rPr>
          <w:rFonts w:ascii="Times New Roman" w:hAnsi="Times New Roman"/>
          <w:color w:themeColor="text1" w:val="000000"/>
          <w:sz w:val="28"/>
        </w:rPr>
        <w:t xml:space="preserve">в информационно-телекоммуникационной сети «Интернет», услуг хостинга, услуг по администрированию и модернизации данных сайтов, услуг </w:t>
      </w:r>
      <w:r>
        <w:rPr>
          <w:rFonts w:ascii="Times New Roman" w:hAnsi="Times New Roman"/>
          <w:color w:themeColor="text1" w:val="000000"/>
          <w:sz w:val="28"/>
        </w:rPr>
        <w:br/>
      </w:r>
      <w:r>
        <w:rPr>
          <w:rFonts w:ascii="Times New Roman" w:hAnsi="Times New Roman"/>
          <w:color w:themeColor="text1" w:val="000000"/>
          <w:sz w:val="28"/>
        </w:rPr>
        <w:t xml:space="preserve">по предоставлению доступа к информационным системам и сервисам. Возмещение возможно только при нахождении вышеуказанных интернет-ресурсов в доменных зонах </w:t>
      </w:r>
      <w:r>
        <w:rPr>
          <w:rFonts w:ascii="Times New Roman" w:hAnsi="Times New Roman"/>
          <w:color w:themeColor="text1" w:val="000000"/>
          <w:sz w:val="28"/>
        </w:rPr>
        <w:t>«.РФ</w:t>
      </w:r>
      <w:r>
        <w:rPr>
          <w:rFonts w:ascii="Times New Roman" w:hAnsi="Times New Roman"/>
          <w:color w:themeColor="text1" w:val="000000"/>
          <w:sz w:val="28"/>
        </w:rPr>
        <w:t xml:space="preserve">», «.RU» и «.SU», возмещение затрат </w:t>
      </w:r>
      <w:r>
        <w:rPr>
          <w:rFonts w:ascii="Times New Roman" w:hAnsi="Times New Roman"/>
          <w:b w:val="1"/>
          <w:color w:themeColor="text1" w:val="000000"/>
          <w:sz w:val="28"/>
        </w:rPr>
        <w:t>не более 20 000 рублей для СО НКО</w:t>
      </w:r>
      <w:r>
        <w:rPr>
          <w:rFonts w:ascii="Times New Roman" w:hAnsi="Times New Roman"/>
          <w:color w:themeColor="text1" w:val="000000"/>
          <w:sz w:val="28"/>
        </w:rPr>
        <w:t>;</w:t>
      </w:r>
    </w:p>
    <w:p w14:paraId="19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6) На оплату услуг по фото- и видеосъемке, услуг по компьютерной обработке фото- и видеоматериалов, услуг по монтажу видеороликов, возмещение затрат </w:t>
      </w:r>
      <w:r>
        <w:rPr>
          <w:rFonts w:ascii="Times New Roman" w:hAnsi="Times New Roman"/>
          <w:b w:val="1"/>
          <w:color w:themeColor="text1" w:val="000000"/>
          <w:sz w:val="28"/>
        </w:rPr>
        <w:t>не более 20 000 рублей для СО НКО</w:t>
      </w:r>
      <w:r>
        <w:rPr>
          <w:rFonts w:ascii="Times New Roman" w:hAnsi="Times New Roman"/>
          <w:color w:themeColor="text1" w:val="000000"/>
          <w:sz w:val="28"/>
        </w:rPr>
        <w:t>;</w:t>
      </w:r>
    </w:p>
    <w:p w14:paraId="1A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7) На командировки работников в целях их участия в обучающих, научных и практических мероприятиях, возмещение затрат </w:t>
      </w:r>
      <w:r>
        <w:rPr>
          <w:rFonts w:ascii="Times New Roman" w:hAnsi="Times New Roman"/>
          <w:b w:val="1"/>
          <w:color w:themeColor="text1" w:val="000000"/>
          <w:sz w:val="28"/>
        </w:rPr>
        <w:t>не более 50 000 рублей для СО НКО.</w:t>
      </w:r>
    </w:p>
    <w:p w14:paraId="1B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Возмещение предоставляется в пределах средств субсидии, предоставленной из областного бюджета Организатору, предусмотренных </w:t>
      </w:r>
      <w:r>
        <w:rPr>
          <w:rFonts w:ascii="Times New Roman" w:hAnsi="Times New Roman"/>
          <w:color w:themeColor="text1" w:val="000000"/>
          <w:sz w:val="28"/>
        </w:rPr>
        <w:br/>
      </w:r>
      <w:r>
        <w:rPr>
          <w:rFonts w:ascii="Times New Roman" w:hAnsi="Times New Roman"/>
          <w:color w:themeColor="text1" w:val="000000"/>
          <w:sz w:val="28"/>
        </w:rPr>
        <w:t xml:space="preserve">в областном бюджете на соответствующий финансовый год и плановый период по целевой статье расходов «Субсидия на обеспечение деятельности автономной некоммерческой организации «Агентство развития гражданских инициатив Ростовской области», полученных Организатором Конкурса на цели Конкурса, </w:t>
      </w:r>
      <w:r>
        <w:rPr>
          <w:rFonts w:ascii="Times New Roman" w:hAnsi="Times New Roman"/>
          <w:b w:val="1"/>
          <w:color w:themeColor="text1" w:val="000000"/>
          <w:sz w:val="28"/>
        </w:rPr>
        <w:t>но не более 200 000 рублей на одного Победителя</w:t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1C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Участник Конкурса вправе подать заявки на участие в Конкурсе </w:t>
      </w:r>
      <w:r>
        <w:rPr>
          <w:rFonts w:ascii="Times New Roman" w:hAnsi="Times New Roman"/>
          <w:color w:themeColor="text1" w:val="000000"/>
          <w:sz w:val="28"/>
        </w:rPr>
        <w:br/>
      </w:r>
      <w:r>
        <w:rPr>
          <w:rFonts w:ascii="Times New Roman" w:hAnsi="Times New Roman"/>
          <w:color w:themeColor="text1" w:val="000000"/>
          <w:sz w:val="28"/>
        </w:rPr>
        <w:t xml:space="preserve">по нескольким направлениям. </w:t>
      </w:r>
    </w:p>
    <w:p w14:paraId="1D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Общая сумма к распределению на возмещение 2 000 000 рублей.</w:t>
      </w:r>
    </w:p>
    <w:sectPr>
      <w:headerReference r:id="rId1" w:type="default"/>
      <w:pgSz w:h="16848" w:orient="portrait" w:w="11908"/>
      <w:pgMar w:bottom="1134" w:footer="708" w:gutter="0" w:header="708" w:left="1134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</w:pPr>
    <w:r>
      <w:fldChar w:fldCharType="begin"/>
    </w:r>
    <w:r>
      <w:instrText>PAGE \* Arabic</w:instrText>
    </w:r>
    <w:r>
      <w:fldChar w:fldCharType="separate"/>
    </w:r>
    <w:r>
      <w:t xml:space="preserve"> </w:t>
    </w:r>
    <w:r>
      <w:fldChar w:fldCharType="end"/>
    </w:r>
  </w:p>
  <w:p w14:paraId="01000000"/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basedOn w:val="Style_1"/>
    <w:next w:val="Style_1"/>
    <w:link w:val="Style_7_ch"/>
    <w:uiPriority w:val="9"/>
    <w:qFormat/>
    <w:pPr>
      <w:keepNext w:val="1"/>
      <w:keepLines w:val="1"/>
      <w:widowControl w:val="0"/>
      <w:spacing w:after="80" w:before="280"/>
      <w:ind/>
      <w:outlineLvl w:val="2"/>
    </w:pPr>
    <w:rPr>
      <w:b w:val="1"/>
      <w:sz w:val="28"/>
    </w:rPr>
  </w:style>
  <w:style w:styleId="Style_7_ch" w:type="character">
    <w:name w:val="heading 3"/>
    <w:basedOn w:val="Style_1_ch"/>
    <w:link w:val="Style_7"/>
    <w:rPr>
      <w:b w:val="1"/>
      <w:sz w:val="2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Unresolved Mention"/>
    <w:basedOn w:val="Style_8"/>
    <w:link w:val="Style_9_ch"/>
    <w:rPr>
      <w:color w:val="605E5C"/>
      <w:shd w:fill="E1DFDD" w:val="clear"/>
    </w:rPr>
  </w:style>
  <w:style w:styleId="Style_9_ch" w:type="character">
    <w:name w:val="Unresolved Mention"/>
    <w:basedOn w:val="Style_8_ch"/>
    <w:link w:val="Style_9"/>
    <w:rPr>
      <w:color w:val="605E5C"/>
      <w:shd w:fill="E1DFDD" w:val="clear"/>
    </w:rPr>
  </w:style>
  <w:style w:styleId="Style_10" w:type="paragraph">
    <w:name w:val="toc 3"/>
    <w:next w:val="Style_1"/>
    <w:link w:val="Style_10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basedOn w:val="Style_1"/>
    <w:next w:val="Style_1"/>
    <w:link w:val="Style_11_ch"/>
    <w:uiPriority w:val="9"/>
    <w:qFormat/>
    <w:pPr>
      <w:keepNext w:val="1"/>
      <w:keepLines w:val="1"/>
      <w:widowControl w:val="0"/>
      <w:spacing w:after="40" w:before="220"/>
      <w:ind/>
      <w:outlineLvl w:val="4"/>
    </w:pPr>
    <w:rPr>
      <w:b w:val="1"/>
    </w:rPr>
  </w:style>
  <w:style w:styleId="Style_11_ch" w:type="character">
    <w:name w:val="heading 5"/>
    <w:basedOn w:val="Style_1_ch"/>
    <w:link w:val="Style_11"/>
    <w:rPr>
      <w:b w:val="1"/>
    </w:rPr>
  </w:style>
  <w:style w:styleId="Style_12" w:type="paragraph">
    <w:name w:val="heading 1"/>
    <w:basedOn w:val="Style_1"/>
    <w:next w:val="Style_1"/>
    <w:link w:val="Style_12_ch"/>
    <w:uiPriority w:val="9"/>
    <w:qFormat/>
    <w:pPr>
      <w:keepNext w:val="1"/>
      <w:keepLines w:val="1"/>
      <w:widowControl w:val="0"/>
      <w:spacing w:after="120" w:before="480"/>
      <w:ind/>
      <w:outlineLvl w:val="0"/>
    </w:pPr>
    <w:rPr>
      <w:b w:val="1"/>
      <w:sz w:val="48"/>
    </w:rPr>
  </w:style>
  <w:style w:styleId="Style_12_ch" w:type="character">
    <w:name w:val="heading 1"/>
    <w:basedOn w:val="Style_1_ch"/>
    <w:link w:val="Style_12"/>
    <w:rPr>
      <w:b w:val="1"/>
      <w:sz w:val="48"/>
    </w:rPr>
  </w:style>
  <w:style w:styleId="Style_13" w:type="paragraph">
    <w:name w:val="Hyperlink"/>
    <w:basedOn w:val="Style_8"/>
    <w:link w:val="Style_13_ch"/>
    <w:rPr>
      <w:color w:themeColor="hyperlink" w:val="0563C1"/>
      <w:u w:val="single"/>
    </w:rPr>
  </w:style>
  <w:style w:styleId="Style_13_ch" w:type="character">
    <w:name w:val="Hyperlink"/>
    <w:basedOn w:val="Style_8_ch"/>
    <w:link w:val="Style_13"/>
    <w:rPr>
      <w:color w:themeColor="hyperlink" w:val="0563C1"/>
      <w:u w:val="single"/>
    </w:rPr>
  </w:style>
  <w:style w:styleId="Style_14" w:type="paragraph">
    <w:name w:val="Footnote"/>
    <w:link w:val="Style_14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0"/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1"/>
    <w:link w:val="Style_17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basedOn w:val="Style_1"/>
    <w:next w:val="Style_1"/>
    <w:link w:val="Style_20_ch"/>
    <w:uiPriority w:val="11"/>
    <w:qFormat/>
    <w:pPr>
      <w:keepNext w:val="1"/>
      <w:keepLines w:val="1"/>
      <w:widowControl w:val="0"/>
      <w:spacing w:after="80" w:before="360"/>
      <w:ind/>
    </w:pPr>
    <w:rPr>
      <w:rFonts w:ascii="Georgia" w:hAnsi="Georgia"/>
      <w:i w:val="1"/>
      <w:color w:val="666666"/>
      <w:sz w:val="48"/>
    </w:rPr>
  </w:style>
  <w:style w:styleId="Style_20_ch" w:type="character">
    <w:name w:val="Subtitle"/>
    <w:basedOn w:val="Style_1_ch"/>
    <w:link w:val="Style_20"/>
    <w:rPr>
      <w:rFonts w:ascii="Georgia" w:hAnsi="Georgia"/>
      <w:i w:val="1"/>
      <w:color w:val="666666"/>
      <w:sz w:val="48"/>
    </w:rPr>
  </w:style>
  <w:style w:styleId="Style_21" w:type="paragraph">
    <w:name w:val="Title"/>
    <w:basedOn w:val="Style_1"/>
    <w:next w:val="Style_1"/>
    <w:link w:val="Style_21_ch"/>
    <w:uiPriority w:val="10"/>
    <w:qFormat/>
    <w:pPr>
      <w:keepNext w:val="1"/>
      <w:keepLines w:val="1"/>
      <w:widowControl w:val="0"/>
      <w:spacing w:after="120" w:before="480"/>
      <w:ind/>
    </w:pPr>
    <w:rPr>
      <w:b w:val="1"/>
      <w:sz w:val="72"/>
    </w:rPr>
  </w:style>
  <w:style w:styleId="Style_21_ch" w:type="character">
    <w:name w:val="Title"/>
    <w:basedOn w:val="Style_1_ch"/>
    <w:link w:val="Style_21"/>
    <w:rPr>
      <w:b w:val="1"/>
      <w:sz w:val="72"/>
    </w:rPr>
  </w:style>
  <w:style w:styleId="Style_22" w:type="paragraph">
    <w:name w:val="heading 4"/>
    <w:basedOn w:val="Style_1"/>
    <w:next w:val="Style_1"/>
    <w:link w:val="Style_22_ch"/>
    <w:uiPriority w:val="9"/>
    <w:qFormat/>
    <w:pPr>
      <w:keepNext w:val="1"/>
      <w:keepLines w:val="1"/>
      <w:widowControl w:val="0"/>
      <w:spacing w:after="40" w:before="240"/>
      <w:ind/>
      <w:outlineLvl w:val="3"/>
    </w:pPr>
    <w:rPr>
      <w:b w:val="1"/>
      <w:sz w:val="24"/>
    </w:rPr>
  </w:style>
  <w:style w:styleId="Style_22_ch" w:type="character">
    <w:name w:val="heading 4"/>
    <w:basedOn w:val="Style_1_ch"/>
    <w:link w:val="Style_22"/>
    <w:rPr>
      <w:b w:val="1"/>
      <w:sz w:val="24"/>
    </w:rPr>
  </w:style>
  <w:style w:styleId="Style_23" w:type="paragraph">
    <w:name w:val="heading 2"/>
    <w:basedOn w:val="Style_1"/>
    <w:next w:val="Style_1"/>
    <w:link w:val="Style_23_ch"/>
    <w:uiPriority w:val="9"/>
    <w:qFormat/>
    <w:pPr>
      <w:keepNext w:val="1"/>
      <w:keepLines w:val="1"/>
      <w:widowControl w:val="0"/>
      <w:spacing w:after="80" w:before="360"/>
      <w:ind/>
      <w:outlineLvl w:val="1"/>
    </w:pPr>
    <w:rPr>
      <w:b w:val="1"/>
      <w:sz w:val="36"/>
    </w:rPr>
  </w:style>
  <w:style w:styleId="Style_23_ch" w:type="character">
    <w:name w:val="heading 2"/>
    <w:basedOn w:val="Style_1_ch"/>
    <w:link w:val="Style_23"/>
    <w:rPr>
      <w:b w:val="1"/>
      <w:sz w:val="36"/>
    </w:rPr>
  </w:style>
  <w:style w:styleId="Style_24" w:type="paragraph">
    <w:name w:val="heading 6"/>
    <w:basedOn w:val="Style_1"/>
    <w:next w:val="Style_1"/>
    <w:link w:val="Style_24_ch"/>
    <w:uiPriority w:val="9"/>
    <w:qFormat/>
    <w:pPr>
      <w:keepNext w:val="1"/>
      <w:keepLines w:val="1"/>
      <w:widowControl w:val="0"/>
      <w:spacing w:after="40" w:before="200"/>
      <w:ind/>
      <w:outlineLvl w:val="5"/>
    </w:pPr>
    <w:rPr>
      <w:b w:val="1"/>
      <w:sz w:val="20"/>
    </w:rPr>
  </w:style>
  <w:style w:styleId="Style_24_ch" w:type="character">
    <w:name w:val="heading 6"/>
    <w:basedOn w:val="Style_1_ch"/>
    <w:link w:val="Style_24"/>
    <w:rPr>
      <w:b w:val="1"/>
      <w:sz w:val="20"/>
    </w:rPr>
  </w:style>
  <w:style w:styleId="Style_25" w:type="table">
    <w:name w:val="Table Normal"/>
    <w:tblPr>
      <w:tblCellMar>
        <w:top w:type="dxa" w:w="0"/>
        <w:left w:type="dxa" w:w="0"/>
        <w:bottom w:type="dxa" w:w="0"/>
        <w:right w:type="dxa" w:w="0"/>
      </w:tblCellMar>
    </w:tblPr>
  </w:style>
  <w:style w:styleId="Style_26" w:type="table">
    <w:basedOn w:val="Style_27"/>
    <w:semiHidden w:val="1"/>
    <w:unhideWhenUsed w:val="1"/>
    <w:tblPr>
      <w:tblCellMar>
        <w:top w:type="dxa" w:w="100"/>
        <w:left w:type="dxa" w:w="100"/>
        <w:bottom w:type="dxa" w:w="100"/>
        <w:right w:type="dxa" w:w="100"/>
      </w:tblCellMar>
    </w:tbl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9" w:type="table">
    <w:basedOn w:val="Style_27"/>
    <w:semiHidden w:val="1"/>
    <w:unhideWhenUsed w:val="1"/>
    <w:tblPr>
      <w:tblCellMar>
        <w:top w:type="dxa" w:w="100"/>
        <w:left w:type="dxa" w:w="100"/>
        <w:bottom w:type="dxa" w:w="100"/>
        <w:right w:type="dxa" w:w="100"/>
      </w:tblCellMar>
    </w:tblPr>
  </w:style>
  <w:style w:styleId="Style_30" w:type="table">
    <w:name w:val="Table Normal"/>
    <w:tblPr>
      <w:tblCellMar>
        <w:top w:type="dxa" w:w="0"/>
        <w:left w:type="dxa" w:w="0"/>
        <w:bottom w:type="dxa" w:w="0"/>
        <w:right w:type="dxa" w:w="0"/>
      </w:tblCellMar>
    </w:tblPr>
  </w:style>
  <w:style w:styleId="Style_27" w:type="table">
    <w:name w:val="Table Normal"/>
    <w:tblPr>
      <w:tblCellMar>
        <w:top w:type="dxa" w:w="0"/>
        <w:left w:type="dxa" w:w="0"/>
        <w:bottom w:type="dxa" w:w="0"/>
        <w:right w:type="dxa" w:w="0"/>
      </w:tblCellMar>
    </w:tblPr>
  </w:style>
  <w:style w:styleId="Style_31" w:type="table">
    <w:basedOn w:val="Style_27"/>
    <w:semiHidden w:val="1"/>
    <w:unhideWhenUsed w:val="1"/>
    <w:tblPr>
      <w:tblCellMar>
        <w:top w:type="dxa" w:w="100"/>
        <w:left w:type="dxa" w:w="100"/>
        <w:bottom w:type="dxa" w:w="100"/>
        <w:right w:type="dxa" w:w="10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2026-09-23T08:11:24Z</dcterms:created>
  <dcterms:modified xsi:type="dcterms:W3CDTF">2026-10-05T13:38:02Z</dcterms:modified>
</cp:coreProperties>
</file>