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УВЕДОМЛЕНИЕ</w:t>
      </w:r>
      <w:r>
        <w:rPr>
          <w:b w:val="1"/>
          <w:sz w:val="26"/>
        </w:rPr>
        <w:br/>
      </w:r>
      <w:r>
        <w:rPr>
          <w:b w:val="1"/>
          <w:sz w:val="26"/>
        </w:rPr>
        <w:t>о подготовке проект</w:t>
      </w:r>
      <w:r>
        <w:rPr>
          <w:b w:val="1"/>
          <w:sz w:val="26"/>
        </w:rPr>
        <w:t>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акта</w:t>
      </w:r>
    </w:p>
    <w:p w14:paraId="07000000">
      <w:pPr>
        <w:ind w:firstLine="709" w:left="0"/>
        <w:jc w:val="both"/>
        <w:rPr>
          <w:sz w:val="28"/>
        </w:rPr>
      </w:pPr>
    </w:p>
    <w:p w14:paraId="0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Настоящим </w:t>
      </w:r>
      <w:r>
        <w:rPr>
          <w:sz w:val="28"/>
        </w:rPr>
        <w:t xml:space="preserve">Управление сельского хозяйства и продовольствия </w:t>
      </w:r>
      <w:r>
        <w:rPr>
          <w:sz w:val="28"/>
        </w:rPr>
        <w:t xml:space="preserve"> Администрации Аксайского района</w:t>
      </w:r>
      <w:r>
        <w:rPr>
          <w:sz w:val="28"/>
        </w:rPr>
        <w:t xml:space="preserve"> </w:t>
      </w:r>
      <w:r>
        <w:rPr>
          <w:sz w:val="28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09000000">
      <w:pPr>
        <w:ind w:firstLine="709" w:left="0"/>
        <w:jc w:val="both"/>
        <w:rPr>
          <w:b w:val="1"/>
          <w:sz w:val="28"/>
        </w:rPr>
      </w:pPr>
    </w:p>
    <w:p w14:paraId="0A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Предложения принимаются по адресу</w:t>
      </w:r>
      <w:r>
        <w:rPr>
          <w:b w:val="1"/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346720</w:t>
      </w:r>
      <w:r>
        <w:rPr>
          <w:sz w:val="28"/>
        </w:rPr>
        <w:t xml:space="preserve">, </w:t>
      </w:r>
      <w:r>
        <w:rPr>
          <w:sz w:val="28"/>
        </w:rPr>
        <w:t>г. Аксай, ул. К. Либкнехта, 132</w:t>
      </w:r>
      <w:r>
        <w:rPr>
          <w:sz w:val="28"/>
        </w:rPr>
        <w:t xml:space="preserve">, а также по адресу электронной почты: </w:t>
      </w:r>
      <w:r>
        <w:rPr>
          <w:color w:val="0000FF"/>
          <w:sz w:val="28"/>
          <w:u w:val="single"/>
        </w:rPr>
        <w:fldChar w:fldCharType="begin"/>
      </w:r>
      <w:r>
        <w:rPr>
          <w:color w:val="0000FF"/>
          <w:sz w:val="28"/>
          <w:u w:val="single"/>
        </w:rPr>
        <w:instrText>HYPERLINK "mailto:region@aksayland.ru"</w:instrText>
      </w:r>
      <w:r>
        <w:rPr>
          <w:color w:val="0000FF"/>
          <w:sz w:val="28"/>
          <w:u w:val="single"/>
        </w:rPr>
        <w:fldChar w:fldCharType="separate"/>
      </w:r>
      <w:r>
        <w:rPr>
          <w:color w:val="0000FF"/>
          <w:sz w:val="28"/>
          <w:u w:val="single"/>
        </w:rPr>
        <w:t>region@aksayland.ru</w:t>
      </w:r>
      <w:r>
        <w:rPr>
          <w:color w:val="0000FF"/>
          <w:sz w:val="28"/>
          <w:u w:val="single"/>
        </w:rPr>
        <w:fldChar w:fldCharType="end"/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теме сообщения указать «Предложения по подготовке проекта акта».</w:t>
      </w:r>
    </w:p>
    <w:p w14:paraId="0B000000">
      <w:pPr>
        <w:ind w:firstLine="709" w:left="0"/>
        <w:jc w:val="both"/>
        <w:rPr>
          <w:b w:val="1"/>
          <w:sz w:val="28"/>
        </w:rPr>
      </w:pPr>
    </w:p>
    <w:p w14:paraId="0C000000">
      <w:pPr>
        <w:ind w:firstLine="709" w:left="0"/>
        <w:jc w:val="both"/>
        <w:rPr>
          <w:i w:val="1"/>
          <w:sz w:val="28"/>
        </w:rPr>
      </w:pPr>
      <w:r>
        <w:rPr>
          <w:b w:val="1"/>
          <w:sz w:val="28"/>
        </w:rPr>
        <w:t>Сроки при</w:t>
      </w:r>
      <w:r>
        <w:rPr>
          <w:b w:val="1"/>
          <w:sz w:val="28"/>
        </w:rPr>
        <w:t>ё</w:t>
      </w:r>
      <w:r>
        <w:rPr>
          <w:b w:val="1"/>
          <w:sz w:val="28"/>
        </w:rPr>
        <w:t>ма предложений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c</w:t>
      </w:r>
      <w:r>
        <w:rPr>
          <w:sz w:val="28"/>
        </w:rPr>
        <w:t xml:space="preserve"> 25</w:t>
      </w:r>
      <w:r>
        <w:rPr>
          <w:sz w:val="28"/>
        </w:rPr>
        <w:t>.</w:t>
      </w:r>
      <w:r>
        <w:rPr>
          <w:sz w:val="28"/>
        </w:rPr>
        <w:t>05</w:t>
      </w:r>
      <w:r>
        <w:rPr>
          <w:sz w:val="28"/>
        </w:rPr>
        <w:t>.20</w:t>
      </w:r>
      <w:r>
        <w:rPr>
          <w:sz w:val="28"/>
        </w:rPr>
        <w:t>22</w:t>
      </w:r>
      <w:r>
        <w:rPr>
          <w:sz w:val="28"/>
        </w:rPr>
        <w:t xml:space="preserve"> по 08</w:t>
      </w:r>
      <w:r>
        <w:rPr>
          <w:sz w:val="28"/>
        </w:rPr>
        <w:t>.</w:t>
      </w:r>
      <w:r>
        <w:rPr>
          <w:sz w:val="28"/>
        </w:rPr>
        <w:t>06</w:t>
      </w:r>
      <w:r>
        <w:rPr>
          <w:sz w:val="28"/>
        </w:rPr>
        <w:t>.20</w:t>
      </w:r>
      <w:r>
        <w:rPr>
          <w:sz w:val="28"/>
        </w:rPr>
        <w:t>2</w:t>
      </w:r>
      <w:r>
        <w:rPr>
          <w:i w:val="1"/>
          <w:sz w:val="28"/>
        </w:rPr>
        <w:t xml:space="preserve">2 </w:t>
      </w:r>
    </w:p>
    <w:p w14:paraId="0D000000">
      <w:pPr>
        <w:ind w:firstLine="709" w:left="0"/>
        <w:jc w:val="both"/>
        <w:rPr>
          <w:b w:val="1"/>
          <w:sz w:val="28"/>
        </w:rPr>
      </w:pPr>
    </w:p>
    <w:p w14:paraId="0E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Место размещения уведомления о подготовке проекта акта в сети Интернет</w:t>
      </w:r>
      <w:r>
        <w:rPr>
          <w:b w:val="1"/>
          <w:sz w:val="28"/>
        </w:rPr>
        <w:t>:</w:t>
      </w:r>
      <w:r>
        <w:rPr>
          <w:sz w:val="28"/>
        </w:rPr>
        <w:t xml:space="preserve">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"http://www.aksayland.ru"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www.</w:t>
      </w:r>
      <w:r>
        <w:rPr>
          <w:rStyle w:val="Style_4_ch"/>
          <w:sz w:val="28"/>
        </w:rPr>
        <w:t>aksayland</w:t>
      </w:r>
      <w:r>
        <w:rPr>
          <w:rStyle w:val="Style_4_ch"/>
          <w:sz w:val="28"/>
        </w:rPr>
        <w:t>.ru</w:t>
      </w:r>
      <w:r>
        <w:rPr>
          <w:rStyle w:val="Style_4_ch"/>
          <w:sz w:val="28"/>
        </w:rPr>
        <w:fldChar w:fldCharType="end"/>
      </w:r>
    </w:p>
    <w:p w14:paraId="0F000000">
      <w:pPr>
        <w:ind w:firstLine="709" w:left="0"/>
        <w:jc w:val="both"/>
        <w:rPr>
          <w:b w:val="1"/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Контактное лицо от разработчика акта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гла</w:t>
      </w:r>
      <w:r>
        <w:rPr>
          <w:sz w:val="28"/>
        </w:rPr>
        <w:t>вный специалист сектора</w:t>
      </w:r>
      <w:r>
        <w:rPr>
          <w:sz w:val="28"/>
        </w:rPr>
        <w:t xml:space="preserve"> </w:t>
      </w:r>
      <w:r>
        <w:rPr>
          <w:sz w:val="28"/>
        </w:rPr>
        <w:t>земледелия, те</w:t>
      </w:r>
      <w:r>
        <w:rPr>
          <w:sz w:val="28"/>
        </w:rPr>
        <w:t>х</w:t>
      </w:r>
      <w:r>
        <w:rPr>
          <w:sz w:val="28"/>
        </w:rPr>
        <w:t xml:space="preserve">нической политики, земельных отношений, правовой и кадровой работы Управления сельского хозяйства и продовольствия Администрации Аксайского района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Степанковский Дмитрий Сергеевич</w:t>
      </w:r>
      <w:r>
        <w:rPr>
          <w:sz w:val="28"/>
        </w:rPr>
        <w:t xml:space="preserve">, контактный телефон: </w:t>
      </w:r>
      <w:r>
        <w:rPr>
          <w:sz w:val="28"/>
        </w:rPr>
        <w:t>8</w:t>
      </w:r>
      <w:r>
        <w:rPr>
          <w:sz w:val="28"/>
        </w:rPr>
        <w:t>(</w:t>
      </w:r>
      <w:r>
        <w:rPr>
          <w:sz w:val="28"/>
        </w:rPr>
        <w:t>86350</w:t>
      </w:r>
      <w:r>
        <w:rPr>
          <w:sz w:val="28"/>
        </w:rPr>
        <w:t xml:space="preserve">) </w:t>
      </w:r>
      <w:r>
        <w:rPr>
          <w:sz w:val="28"/>
        </w:rPr>
        <w:t>5</w:t>
      </w:r>
      <w:r>
        <w:rPr>
          <w:sz w:val="28"/>
        </w:rPr>
        <w:t>5606</w:t>
      </w:r>
      <w:r>
        <w:rPr>
          <w:sz w:val="28"/>
        </w:rPr>
        <w:t xml:space="preserve">. </w:t>
      </w:r>
    </w:p>
    <w:p w14:paraId="11000000">
      <w:pPr>
        <w:ind w:firstLine="709" w:left="0"/>
        <w:jc w:val="both"/>
        <w:rPr>
          <w:sz w:val="28"/>
        </w:rPr>
      </w:pPr>
    </w:p>
    <w:p w14:paraId="12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>Вид нормативного правового акта:</w:t>
      </w:r>
    </w:p>
    <w:p w14:paraId="13000000">
      <w:pPr>
        <w:ind w:firstLine="0" w:left="1080"/>
        <w:jc w:val="both"/>
        <w:rPr>
          <w:b w:val="1"/>
          <w:sz w:val="28"/>
        </w:rPr>
      </w:pPr>
    </w:p>
    <w:p w14:paraId="14000000">
      <w:pPr>
        <w:ind w:firstLine="0" w:left="720"/>
        <w:jc w:val="both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 xml:space="preserve">е </w:t>
      </w:r>
      <w:r>
        <w:rPr>
          <w:sz w:val="28"/>
        </w:rPr>
        <w:t xml:space="preserve"> Администрации </w:t>
      </w:r>
      <w:r>
        <w:rPr>
          <w:sz w:val="28"/>
        </w:rPr>
        <w:t>Аксайского</w:t>
      </w:r>
      <w:r>
        <w:rPr>
          <w:sz w:val="28"/>
        </w:rPr>
        <w:t xml:space="preserve"> района</w:t>
      </w:r>
      <w:r>
        <w:rPr>
          <w:sz w:val="28"/>
        </w:rPr>
        <w:t>.</w:t>
      </w:r>
    </w:p>
    <w:p w14:paraId="15000000">
      <w:pPr>
        <w:ind w:firstLine="0" w:left="720"/>
        <w:jc w:val="both"/>
        <w:rPr>
          <w:b w:val="1"/>
          <w:sz w:val="28"/>
        </w:rPr>
      </w:pPr>
    </w:p>
    <w:p w14:paraId="16000000">
      <w:pPr>
        <w:numPr>
          <w:ilvl w:val="0"/>
          <w:numId w:val="1"/>
        </w:numPr>
        <w:tabs>
          <w:tab w:leader="none" w:pos="567" w:val="left"/>
        </w:tabs>
        <w:spacing w:after="200" w:before="12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Наименование нормативного правового акта:</w:t>
      </w:r>
    </w:p>
    <w:p w14:paraId="17000000">
      <w:pPr>
        <w:widowControl w:val="0"/>
        <w:numPr>
          <w:ilvl w:val="0"/>
          <w:numId w:val="1"/>
        </w:numPr>
        <w:spacing w:line="252" w:lineRule="auto"/>
        <w:ind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Об утверждении Положения о порядке    </w:t>
      </w:r>
      <w:r>
        <w:rPr>
          <w:sz w:val="28"/>
        </w:rPr>
        <w:t xml:space="preserve"> и условиях</w:t>
      </w:r>
      <w:r>
        <w:rPr>
          <w:sz w:val="28"/>
        </w:rPr>
        <w:t xml:space="preserve">  предоставления субсиди</w:t>
      </w:r>
      <w:r>
        <w:rPr>
          <w:sz w:val="28"/>
        </w:rPr>
        <w:t xml:space="preserve">й </w:t>
      </w:r>
      <w:r>
        <w:rPr>
          <w:sz w:val="28"/>
        </w:rPr>
        <w:t>сельскохозяйственным товаропроизводителям</w:t>
      </w:r>
      <w:r>
        <w:rPr>
          <w:sz w:val="28"/>
        </w:rPr>
        <w:t xml:space="preserve"> </w:t>
      </w:r>
      <w:r>
        <w:rPr>
          <w:sz w:val="28"/>
        </w:rPr>
        <w:t>в рамках поддержки сельскохозяйственного производства на поддержку элитного семеноводства</w:t>
      </w:r>
      <w:r>
        <w:rPr>
          <w:sz w:val="28"/>
        </w:rPr>
        <w:t>».</w:t>
      </w:r>
      <w:r>
        <w:rPr>
          <w:sz w:val="28"/>
        </w:rPr>
        <w:t xml:space="preserve"> </w:t>
      </w:r>
    </w:p>
    <w:p w14:paraId="18000000">
      <w:pPr>
        <w:numPr>
          <w:ilvl w:val="0"/>
          <w:numId w:val="1"/>
        </w:numPr>
        <w:tabs>
          <w:tab w:leader="none" w:pos="567" w:val="left"/>
        </w:tabs>
        <w:spacing w:after="200" w:before="120"/>
        <w:ind/>
        <w:jc w:val="both"/>
        <w:rPr>
          <w:b w:val="1"/>
          <w:sz w:val="28"/>
        </w:rPr>
      </w:pPr>
      <w:r>
        <w:rPr>
          <w:b w:val="1"/>
          <w:sz w:val="28"/>
        </w:rPr>
        <w:t>Обоснование проблемы, на решение которой направлен предлагаемый способ регулирования:</w:t>
      </w:r>
    </w:p>
    <w:p w14:paraId="19000000">
      <w:pPr>
        <w:tabs>
          <w:tab w:leader="none" w:pos="567" w:val="left"/>
        </w:tabs>
        <w:spacing w:after="20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 xml:space="preserve"> целях развития малого и среднего предпринимательства в</w:t>
      </w:r>
      <w:r>
        <w:rPr>
          <w:sz w:val="28"/>
        </w:rPr>
        <w:t xml:space="preserve"> Аксайском районе.</w:t>
      </w:r>
    </w:p>
    <w:p w14:paraId="1A000000">
      <w:pPr>
        <w:numPr>
          <w:ilvl w:val="0"/>
          <w:numId w:val="1"/>
        </w:numPr>
        <w:tabs>
          <w:tab w:leader="none" w:pos="567" w:val="left"/>
        </w:tabs>
        <w:spacing w:after="200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Цели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регулирования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 xml:space="preserve"> и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характеристика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соответствующих </w:t>
      </w:r>
      <w:r>
        <w:rPr>
          <w:b w:val="1"/>
          <w:sz w:val="28"/>
        </w:rPr>
        <w:t>общественных</w:t>
      </w:r>
      <w:r>
        <w:rPr>
          <w:b w:val="1"/>
          <w:sz w:val="28"/>
        </w:rPr>
        <w:t xml:space="preserve"> отношений</w:t>
      </w:r>
      <w:r>
        <w:rPr>
          <w:b w:val="1"/>
          <w:sz w:val="28"/>
        </w:rPr>
        <w:t>, описание предлагаемого регулирования с указанием круга лиц, на которых будет распространено их действие</w:t>
      </w:r>
      <w:r>
        <w:rPr>
          <w:b w:val="1"/>
          <w:sz w:val="28"/>
        </w:rPr>
        <w:t>:</w:t>
      </w:r>
    </w:p>
    <w:p w14:paraId="1B000000">
      <w:pPr>
        <w:tabs>
          <w:tab w:leader="none" w:pos="567" w:val="left"/>
        </w:tabs>
        <w:spacing w:after="200"/>
        <w:ind/>
        <w:jc w:val="both"/>
        <w:rPr>
          <w:b w:val="1"/>
          <w:sz w:val="28"/>
        </w:rPr>
      </w:pPr>
      <w:r>
        <w:rPr>
          <w:sz w:val="28"/>
        </w:rPr>
        <w:t xml:space="preserve"> Обеспечение реализации поставленных Правительством Российской Федерации  и Правительством  Ростовской области  задач по развитию малого и среднего предпринимательства. Содействие  развитию предпринимательства на территории Аксайского района.</w:t>
      </w:r>
    </w:p>
    <w:p w14:paraId="1C000000">
      <w:pPr>
        <w:numPr>
          <w:ilvl w:val="0"/>
          <w:numId w:val="2"/>
        </w:numPr>
        <w:tabs>
          <w:tab w:leader="none" w:pos="567" w:val="left"/>
        </w:tabs>
        <w:spacing w:after="200" w:before="12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</w:t>
      </w:r>
      <w:r>
        <w:rPr>
          <w:b w:val="1"/>
          <w:sz w:val="28"/>
        </w:rPr>
        <w:t>:</w:t>
      </w:r>
    </w:p>
    <w:p w14:paraId="1D000000">
      <w:pPr>
        <w:tabs>
          <w:tab w:leader="none" w:pos="567" w:val="left"/>
        </w:tabs>
        <w:spacing w:after="200" w:before="120"/>
        <w:ind w:firstLine="0" w:left="709"/>
        <w:jc w:val="both"/>
        <w:rPr>
          <w:sz w:val="28"/>
        </w:rPr>
      </w:pPr>
      <w:r>
        <w:rPr>
          <w:sz w:val="28"/>
        </w:rPr>
        <w:t xml:space="preserve">июнь </w:t>
      </w:r>
      <w:r>
        <w:rPr>
          <w:sz w:val="28"/>
        </w:rPr>
        <w:t xml:space="preserve"> </w:t>
      </w:r>
      <w:r>
        <w:rPr>
          <w:sz w:val="28"/>
        </w:rPr>
        <w:t xml:space="preserve"> 20</w:t>
      </w:r>
      <w:r>
        <w:rPr>
          <w:sz w:val="28"/>
        </w:rPr>
        <w:t>22</w:t>
      </w:r>
      <w:r>
        <w:rPr>
          <w:sz w:val="28"/>
        </w:rPr>
        <w:t xml:space="preserve"> года.</w:t>
      </w:r>
    </w:p>
    <w:p w14:paraId="1E000000">
      <w:pPr>
        <w:numPr>
          <w:ilvl w:val="0"/>
          <w:numId w:val="2"/>
        </w:numPr>
        <w:tabs>
          <w:tab w:leader="none" w:pos="567" w:val="left"/>
        </w:tabs>
        <w:spacing w:after="200" w:before="12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Сведения о необходимости или отсутствии необходимости установления переходного периода</w:t>
      </w:r>
      <w:r>
        <w:rPr>
          <w:b w:val="1"/>
          <w:sz w:val="28"/>
        </w:rPr>
        <w:t>:</w:t>
      </w:r>
    </w:p>
    <w:p w14:paraId="1F000000">
      <w:pPr>
        <w:tabs>
          <w:tab w:leader="none" w:pos="567" w:val="left"/>
        </w:tabs>
        <w:spacing w:after="200" w:before="120"/>
        <w:ind w:firstLine="0" w:left="709"/>
        <w:jc w:val="both"/>
        <w:rPr>
          <w:sz w:val="28"/>
        </w:rPr>
      </w:pPr>
      <w:r>
        <w:rPr>
          <w:sz w:val="28"/>
        </w:rPr>
        <w:t>Необходимость переходного периода отсутствует.</w:t>
      </w:r>
    </w:p>
    <w:p w14:paraId="20000000">
      <w:pPr>
        <w:numPr>
          <w:ilvl w:val="0"/>
          <w:numId w:val="2"/>
        </w:numPr>
        <w:tabs>
          <w:tab w:leader="none" w:pos="567" w:val="left"/>
        </w:tabs>
        <w:spacing w:after="200" w:before="120"/>
        <w:ind w:firstLine="709" w:left="0"/>
        <w:jc w:val="both"/>
        <w:rPr>
          <w:i w:val="1"/>
        </w:rPr>
      </w:pPr>
      <w:r>
        <w:rPr>
          <w:b w:val="1"/>
          <w:sz w:val="28"/>
        </w:rPr>
        <w:t>Иная информация по решению разработчика, относящаяся к сведениям о подготовке прое</w:t>
      </w:r>
      <w:r>
        <w:rPr>
          <w:b w:val="1"/>
          <w:sz w:val="28"/>
        </w:rPr>
        <w:t>кта нормативного правового акта:</w:t>
      </w:r>
      <w:r>
        <w:rPr>
          <w:b w:val="1"/>
          <w:sz w:val="28"/>
        </w:rPr>
        <w:t xml:space="preserve"> </w:t>
      </w:r>
    </w:p>
    <w:p w14:paraId="21000000">
      <w:pPr>
        <w:tabs>
          <w:tab w:leader="none" w:pos="567" w:val="left"/>
        </w:tabs>
        <w:spacing w:after="200" w:before="120"/>
        <w:ind w:firstLine="709" w:left="0"/>
        <w:jc w:val="both"/>
        <w:rPr>
          <w:sz w:val="28"/>
        </w:rPr>
      </w:pPr>
      <w:r>
        <w:rPr>
          <w:sz w:val="28"/>
        </w:rPr>
        <w:t xml:space="preserve">Принятия </w:t>
      </w:r>
      <w:r>
        <w:rPr>
          <w:sz w:val="28"/>
        </w:rPr>
        <w:t xml:space="preserve">дополнительных </w:t>
      </w:r>
      <w:r>
        <w:rPr>
          <w:sz w:val="28"/>
        </w:rPr>
        <w:t xml:space="preserve">правовых актов для реализации данного </w:t>
      </w:r>
      <w:r>
        <w:rPr>
          <w:sz w:val="28"/>
        </w:rPr>
        <w:t>постановления не требуется</w:t>
      </w:r>
      <w:r>
        <w:rPr>
          <w:sz w:val="28"/>
        </w:rPr>
        <w:t>.</w:t>
      </w:r>
    </w:p>
    <w:p w14:paraId="22000000">
      <w:pPr>
        <w:tabs>
          <w:tab w:leader="none" w:pos="567" w:val="left"/>
        </w:tabs>
        <w:spacing w:after="120" w:before="120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>К уведомлению прилагаются:</w:t>
      </w:r>
    </w:p>
    <w:p w14:paraId="23000000">
      <w:pPr>
        <w:tabs>
          <w:tab w:leader="none" w:pos="567" w:val="left"/>
        </w:tabs>
        <w:spacing w:after="120" w:before="120"/>
        <w:ind/>
        <w:jc w:val="both"/>
        <w:rPr>
          <w:b w:val="1"/>
          <w:sz w:val="28"/>
        </w:rPr>
      </w:pPr>
    </w:p>
    <w:tbl>
      <w:tblPr>
        <w:tblStyle w:val="Style_5"/>
        <w:tblInd w:type="dxa" w:w="108"/>
        <w:tblBorders>
          <w:top w:color="000000" w:sz="4" w:val="dotted"/>
          <w:left w:color="000000" w:sz="4" w:val="dotted"/>
          <w:bottom w:color="000000" w:sz="4" w:val="dotted"/>
          <w:right w:color="000000" w:sz="4" w:val="dotted"/>
          <w:insideH w:color="000000" w:sz="4" w:val="dotted"/>
          <w:insideV w:color="000000" w:sz="4" w:val="dotted"/>
        </w:tblBorders>
        <w:tblLayout w:type="fixed"/>
      </w:tblPr>
      <w:tblGrid>
        <w:gridCol w:w="841"/>
        <w:gridCol w:w="8405"/>
      </w:tblGrid>
      <w:tr>
        <w:trPr>
          <w:trHeight w:hRule="atLeast" w:val="493"/>
        </w:trPr>
        <w:tc>
          <w:tcPr>
            <w:tcW w:type="dxa" w:w="84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8405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5000000">
            <w:pPr>
              <w:tabs>
                <w:tab w:leader="none" w:pos="0" w:val="left"/>
              </w:tabs>
              <w:spacing w:after="200" w:before="120"/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Проект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остановлени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Администрации </w:t>
            </w:r>
            <w:r>
              <w:rPr>
                <w:sz w:val="28"/>
              </w:rPr>
              <w:t>Аксайского района</w:t>
            </w:r>
            <w:r>
              <w:rPr>
                <w:sz w:val="28"/>
              </w:rPr>
              <w:t xml:space="preserve"> «</w:t>
            </w:r>
            <w:r>
              <w:rPr>
                <w:sz w:val="28"/>
              </w:rPr>
              <w:t xml:space="preserve">Об утверждении Положения о порядке    </w:t>
            </w:r>
            <w:r>
              <w:rPr>
                <w:sz w:val="28"/>
              </w:rPr>
              <w:t xml:space="preserve"> и условиях</w:t>
            </w:r>
            <w:r>
              <w:rPr>
                <w:sz w:val="28"/>
              </w:rPr>
              <w:t xml:space="preserve">  предоставления субсиди</w:t>
            </w:r>
            <w:r>
              <w:rPr>
                <w:sz w:val="28"/>
              </w:rPr>
              <w:t xml:space="preserve">й </w:t>
            </w:r>
            <w:r>
              <w:rPr>
                <w:sz w:val="28"/>
              </w:rPr>
              <w:t>сельскохозяйственным товаропроизводителям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 рамках поддержки сельскохозяйственного производства на поддержку элитного семеноводства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</w:p>
        </w:tc>
      </w:tr>
      <w:tr>
        <w:trPr>
          <w:trHeight w:hRule="atLeast" w:val="525"/>
        </w:trPr>
        <w:tc>
          <w:tcPr>
            <w:tcW w:type="dxa" w:w="84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8405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Перечень вопросов для участников публичных обсуждений </w:t>
            </w:r>
          </w:p>
        </w:tc>
      </w:tr>
    </w:tbl>
    <w:p w14:paraId="28000000">
      <w:pPr>
        <w:pStyle w:val="Style_6"/>
        <w:ind w:firstLine="0" w:left="709"/>
        <w:jc w:val="both"/>
        <w:rPr>
          <w:i w:val="1"/>
          <w:sz w:val="28"/>
        </w:rPr>
      </w:pPr>
    </w:p>
    <w:p w14:paraId="29000000">
      <w:pPr>
        <w:pStyle w:val="Style_6"/>
        <w:ind w:firstLine="0" w:left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sz w:val="28"/>
        </w:rPr>
        <w:t>Срок проведения</w:t>
      </w:r>
      <w:r>
        <w:rPr>
          <w:rFonts w:ascii="Times New Roman" w:hAnsi="Times New Roman"/>
          <w:b w:val="1"/>
          <w:sz w:val="28"/>
        </w:rPr>
        <w:t xml:space="preserve"> публичных консультаций до</w:t>
      </w:r>
      <w:r>
        <w:rPr>
          <w:rFonts w:ascii="Times New Roman" w:hAnsi="Times New Roman"/>
          <w:sz w:val="28"/>
        </w:rPr>
        <w:t>: 08</w:t>
      </w:r>
      <w:r>
        <w:rPr>
          <w:rFonts w:ascii="Times New Roman" w:hAnsi="Times New Roman"/>
          <w:sz w:val="28"/>
        </w:rPr>
        <w:t xml:space="preserve"> 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года.</w:t>
      </w:r>
      <w:r>
        <w:rPr>
          <w:rFonts w:ascii="Times New Roman" w:hAnsi="Times New Roman"/>
          <w:i w:val="1"/>
          <w:sz w:val="24"/>
        </w:rPr>
        <w:t xml:space="preserve"> </w:t>
      </w:r>
    </w:p>
    <w:sectPr>
      <w:headerReference r:id="rId1" w:type="default"/>
      <w:footerReference r:id="rId3" w:type="first"/>
      <w:footerReference r:id="rId2" w:type="default"/>
      <w:pgSz w:h="16838" w:orient="portrait" w:w="11906"/>
      <w:pgMar w:bottom="1134" w:footer="709" w:gutter="0" w:header="709" w:left="1418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3"/>
      <w:ind/>
      <w:jc w:val="right"/>
    </w:pPr>
  </w:p>
  <w:p w14:paraId="03000000">
    <w:pPr>
      <w:pStyle w:val="Style_3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ind/>
      <w:jc w:val="right"/>
    </w:pPr>
  </w:p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8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">
    <w:lvl w:ilvl="0">
      <w:start w:val="4"/>
      <w:numFmt w:val="decimal"/>
      <w:lvlText w:val="%1."/>
      <w:lvlJc w:val="left"/>
      <w:pPr>
        <w:ind w:hanging="360" w:left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hanging="360" w:left="720"/>
      </w:pPr>
    </w:lvl>
    <w:lvl w:ilvl="2">
      <w:start w:val="1"/>
      <w:numFmt w:val="lowerRoman"/>
      <w:lvlText w:val="%3."/>
      <w:lvlJc w:val="right"/>
      <w:pPr>
        <w:ind w:hanging="180" w:left="1440"/>
      </w:pPr>
    </w:lvl>
    <w:lvl w:ilvl="3">
      <w:start w:val="1"/>
      <w:numFmt w:val="decimal"/>
      <w:lvlText w:val="%4."/>
      <w:lvlJc w:val="left"/>
      <w:pPr>
        <w:ind w:hanging="360" w:left="2160"/>
      </w:pPr>
    </w:lvl>
    <w:lvl w:ilvl="4">
      <w:start w:val="1"/>
      <w:numFmt w:val="lowerLetter"/>
      <w:lvlText w:val="%5."/>
      <w:lvlJc w:val="left"/>
      <w:pPr>
        <w:ind w:hanging="360" w:left="2880"/>
      </w:pPr>
    </w:lvl>
    <w:lvl w:ilvl="5">
      <w:start w:val="1"/>
      <w:numFmt w:val="lowerRoman"/>
      <w:lvlText w:val="%6."/>
      <w:lvlJc w:val="right"/>
      <w:pPr>
        <w:ind w:hanging="180" w:left="3600"/>
      </w:pPr>
    </w:lvl>
    <w:lvl w:ilvl="6">
      <w:start w:val="1"/>
      <w:numFmt w:val="decimal"/>
      <w:lvlText w:val="%7."/>
      <w:lvlJc w:val="left"/>
      <w:pPr>
        <w:ind w:hanging="360" w:left="4320"/>
      </w:pPr>
    </w:lvl>
    <w:lvl w:ilvl="7">
      <w:start w:val="1"/>
      <w:numFmt w:val="lowerLetter"/>
      <w:lvlText w:val="%8."/>
      <w:lvlJc w:val="left"/>
      <w:pPr>
        <w:ind w:hanging="360" w:left="5040"/>
      </w:pPr>
    </w:lvl>
    <w:lvl w:ilvl="8">
      <w:start w:val="1"/>
      <w:numFmt w:val="lowerRoman"/>
      <w:lvlText w:val="%9."/>
      <w:lvlJc w:val="right"/>
      <w:pPr>
        <w:ind w:hanging="180" w:left="57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mphasis"/>
    <w:link w:val="Style_12_ch"/>
    <w:rPr>
      <w:i w:val="1"/>
    </w:rPr>
  </w:style>
  <w:style w:styleId="Style_12_ch" w:type="character">
    <w:name w:val="Emphasis"/>
    <w:link w:val="Style_12"/>
    <w:rPr>
      <w:i w:val="1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annotation subject"/>
    <w:basedOn w:val="Style_15"/>
    <w:next w:val="Style_15"/>
    <w:link w:val="Style_14_ch"/>
    <w:rPr>
      <w:b w:val="1"/>
    </w:rPr>
  </w:style>
  <w:style w:styleId="Style_14_ch" w:type="character">
    <w:name w:val="annotation subject"/>
    <w:basedOn w:val="Style_15_ch"/>
    <w:link w:val="Style_14"/>
    <w:rPr>
      <w:b w:val="1"/>
    </w:rPr>
  </w:style>
  <w:style w:styleId="Style_1" w:type="paragraph">
    <w:name w:val="page number"/>
    <w:basedOn w:val="Style_16"/>
    <w:link w:val="Style_1_ch"/>
  </w:style>
  <w:style w:styleId="Style_1_ch" w:type="character">
    <w:name w:val="page number"/>
    <w:basedOn w:val="Style_16_ch"/>
    <w:link w:val="Style_1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" w:type="paragraph">
    <w:name w:val="head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7_ch"/>
    <w:link w:val="Style_2"/>
  </w:style>
  <w:style w:styleId="Style_17" w:type="paragraph">
    <w:name w:val="toc 3"/>
    <w:next w:val="Style_7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5" w:type="paragraph">
    <w:name w:val="annotation text"/>
    <w:basedOn w:val="Style_7"/>
    <w:link w:val="Style_15_ch"/>
    <w:rPr>
      <w:sz w:val="20"/>
    </w:rPr>
  </w:style>
  <w:style w:styleId="Style_15_ch" w:type="character">
    <w:name w:val="annotation text"/>
    <w:basedOn w:val="Style_7_ch"/>
    <w:link w:val="Style_15"/>
    <w:rPr>
      <w:sz w:val="20"/>
    </w:rPr>
  </w:style>
  <w:style w:styleId="Style_18" w:type="paragraph">
    <w:name w:val="FollowedHyperlink"/>
    <w:link w:val="Style_18_ch"/>
    <w:rPr>
      <w:color w:val="800080"/>
      <w:u w:val="single"/>
    </w:rPr>
  </w:style>
  <w:style w:styleId="Style_18_ch" w:type="character">
    <w:name w:val="FollowedHyperlink"/>
    <w:link w:val="Style_18"/>
    <w:rPr>
      <w:color w:val="800080"/>
      <w:u w:val="single"/>
    </w:rPr>
  </w:style>
  <w:style w:styleId="Style_19" w:type="paragraph">
    <w:name w:val="heading 5"/>
    <w:next w:val="Style_7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20" w:type="paragraph">
    <w:name w:val="heading 1"/>
    <w:next w:val="Style_7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7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7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annotation reference"/>
    <w:link w:val="Style_25_ch"/>
    <w:rPr>
      <w:sz w:val="16"/>
    </w:rPr>
  </w:style>
  <w:style w:styleId="Style_25_ch" w:type="character">
    <w:name w:val="annotation reference"/>
    <w:link w:val="Style_25"/>
    <w:rPr>
      <w:sz w:val="16"/>
    </w:rPr>
  </w:style>
  <w:style w:styleId="Style_26" w:type="paragraph">
    <w:name w:val="toc 8"/>
    <w:next w:val="Style_7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7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alloon Text"/>
    <w:basedOn w:val="Style_7"/>
    <w:link w:val="Style_28_ch"/>
    <w:rPr>
      <w:rFonts w:ascii="Tahoma" w:hAnsi="Tahoma"/>
      <w:sz w:val="16"/>
    </w:rPr>
  </w:style>
  <w:style w:styleId="Style_28_ch" w:type="character">
    <w:name w:val="Balloon Text"/>
    <w:basedOn w:val="Style_7_ch"/>
    <w:link w:val="Style_28"/>
    <w:rPr>
      <w:rFonts w:ascii="Tahoma" w:hAnsi="Tahoma"/>
      <w:sz w:val="16"/>
    </w:rPr>
  </w:style>
  <w:style w:styleId="Style_29" w:type="paragraph">
    <w:name w:val="Subtitle"/>
    <w:next w:val="Style_7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7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7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List Paragraph"/>
    <w:basedOn w:val="Style_7"/>
    <w:link w:val="Style_33_ch"/>
    <w:pPr>
      <w:ind w:firstLine="0" w:left="708"/>
    </w:pPr>
  </w:style>
  <w:style w:styleId="Style_33_ch" w:type="character">
    <w:name w:val="List Paragraph"/>
    <w:basedOn w:val="Style_7_ch"/>
    <w:link w:val="Style_33"/>
  </w:style>
  <w:style w:styleId="Style_3" w:type="paragraph">
    <w:name w:val="footer"/>
    <w:basedOn w:val="Style_7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7_ch"/>
    <w:link w:val="Style_3"/>
  </w:style>
  <w:style w:styleId="Style_34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2022-06-01T06:34:58Z</dcterms:modified>
</cp:coreProperties>
</file>